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E3943" w:rsidRDefault="005E3943" w:rsidP="009C4923">
      <w:pPr>
        <w:spacing w:after="0"/>
      </w:pPr>
    </w:p>
    <w:p w:rsidR="005E3943" w:rsidRDefault="005E3943" w:rsidP="009C4923">
      <w:pPr>
        <w:spacing w:after="0"/>
      </w:pPr>
    </w:p>
    <w:p w:rsidR="005E3943" w:rsidRDefault="005E3943" w:rsidP="009C4923">
      <w:pPr>
        <w:spacing w:after="0"/>
      </w:pPr>
    </w:p>
    <w:p w:rsidR="009C4923" w:rsidRDefault="009C4923" w:rsidP="009C4923">
      <w:pPr>
        <w:spacing w:after="0"/>
      </w:pPr>
    </w:p>
    <w:p w:rsidR="009C4923" w:rsidRDefault="009C4923" w:rsidP="009C4923">
      <w:pPr>
        <w:spacing w:after="0"/>
      </w:pPr>
    </w:p>
    <w:p w:rsidR="009C4923" w:rsidRDefault="009C4923" w:rsidP="009C4923">
      <w:pPr>
        <w:spacing w:after="0"/>
      </w:pPr>
      <w:bookmarkStart w:id="0" w:name="_GoBack"/>
      <w:bookmarkEnd w:id="0"/>
    </w:p>
    <w:p w:rsidR="005E3943" w:rsidRDefault="005E3943" w:rsidP="009C4923">
      <w:pPr>
        <w:spacing w:after="0"/>
      </w:pPr>
    </w:p>
    <w:p w:rsidR="005E3943" w:rsidRDefault="005E3943" w:rsidP="009C4923">
      <w:pPr>
        <w:spacing w:after="0"/>
      </w:pPr>
    </w:p>
    <w:p w:rsidR="005E3943" w:rsidRDefault="005E3943" w:rsidP="009C4923">
      <w:pPr>
        <w:spacing w:after="0"/>
        <w:jc w:val="center"/>
      </w:pPr>
      <w:r>
        <w:t>Fallacies Adopted in Argument</w:t>
      </w:r>
    </w:p>
    <w:p w:rsidR="005E3943" w:rsidRDefault="005E3943" w:rsidP="009C4923">
      <w:pPr>
        <w:spacing w:after="0"/>
        <w:jc w:val="center"/>
      </w:pPr>
      <w:r>
        <w:t>Name of Student</w:t>
      </w:r>
    </w:p>
    <w:p w:rsidR="005E3943" w:rsidRDefault="005E3943" w:rsidP="009C4923">
      <w:pPr>
        <w:spacing w:after="0"/>
        <w:jc w:val="center"/>
      </w:pPr>
      <w:r>
        <w:t>Name of Institution</w:t>
      </w:r>
    </w:p>
    <w:p w:rsidR="005E3943" w:rsidRDefault="005E3943" w:rsidP="009C4923">
      <w:pPr>
        <w:spacing w:after="0"/>
        <w:jc w:val="center"/>
      </w:pPr>
      <w:r>
        <w:t>Date</w:t>
      </w:r>
      <w:r>
        <w:br w:type="page"/>
      </w:r>
    </w:p>
    <w:p w:rsidR="009C4923" w:rsidRDefault="009C4923" w:rsidP="009C4923">
      <w:pPr>
        <w:spacing w:after="0"/>
        <w:jc w:val="center"/>
      </w:pPr>
      <w:r>
        <w:lastRenderedPageBreak/>
        <w:t>Fallacies Adopted in Argument</w:t>
      </w:r>
    </w:p>
    <w:p w:rsidR="00223ED1" w:rsidRDefault="00223ED1" w:rsidP="009C4923">
      <w:pPr>
        <w:spacing w:after="0"/>
        <w:ind w:firstLine="720"/>
        <w:jc w:val="both"/>
      </w:pPr>
      <w:r>
        <w:t>The acceptability, relevance, and adequacy within an argument is critical in the determination of the quality presented in it. As such, evaluations are a necessity when presented with any information to assess its viability. One such assessment is the evaluation of the mistakes contained within the argument. These mistakes may present as errors or weaknesses that detract from the soundness of a statement, yet somehow manages to disguise this weakness in a manner that seemingly gives the argument the appearance of being better than it is (</w:t>
      </w:r>
      <w:proofErr w:type="spellStart"/>
      <w:r>
        <w:t>pg</w:t>
      </w:r>
      <w:proofErr w:type="spellEnd"/>
      <w:r>
        <w:t xml:space="preserve"> 96). That is to say, the assessment of the sound nature of the debate is sidetracked. This happens when the statement constitutes of mistakes referred to as fallacies that make the argument inconclusive to the measure of acceptability, relevance, and adequacy. The errors, however, are placed to deflect your attention from assessing the claim while giving an appearance that the entire statement holds when it doesn't. Appeal to Pity, Appeal to Force, Ad Hominem and Straw-man are examples of these mistakes, and their common thread is fallacy that the premises employ but do not make the conclusion of the arguments sound.</w:t>
      </w:r>
    </w:p>
    <w:p w:rsidR="00223ED1" w:rsidRDefault="00223ED1" w:rsidP="009C4923">
      <w:pPr>
        <w:spacing w:after="0"/>
        <w:ind w:firstLine="720"/>
        <w:jc w:val="both"/>
      </w:pPr>
      <w:r>
        <w:t xml:space="preserve">Appeal to pity pleads on our compassion and sympathies to disguise the logical and sound claim of an argument. The logical strengths that the fallacy attempts to conceal are the relevance and the adequacy of the premise concerning the conclusion. The presence of pity in an argument serves as a clear indicator that the case in point has weak evidence. An example of such a fallacy is; </w:t>
      </w:r>
    </w:p>
    <w:p w:rsidR="00223ED1" w:rsidRDefault="00223ED1" w:rsidP="009C4923">
      <w:pPr>
        <w:spacing w:after="0"/>
        <w:ind w:firstLine="720"/>
        <w:jc w:val="both"/>
      </w:pPr>
      <w:r>
        <w:t>"Mr. Ramone sustained massive losses after his business was subject to theft during the weekend. Surely, he qualifies for a loan to get his business back on track."</w:t>
      </w:r>
    </w:p>
    <w:p w:rsidR="00223ED1" w:rsidRDefault="00223ED1" w:rsidP="009C4923">
      <w:pPr>
        <w:spacing w:after="0"/>
        <w:ind w:firstLine="720"/>
        <w:jc w:val="both"/>
      </w:pPr>
      <w:r>
        <w:t xml:space="preserve">The fact that his business had some break-ins is not a criterion the loaner can apply to check for the qualification of Mr. Ramone for the loan. Though he deserves our sympathies, the </w:t>
      </w:r>
      <w:r>
        <w:lastRenderedPageBreak/>
        <w:t xml:space="preserve">information provided is not relevant or adequate. There are situations whereby the Appeal to Pity may be appropriate. Like any argument, if it agreed that logic and reason should take a backseat to emotion, and there is no objection to the truth-claim made, but rather an opinion of something that should or should not be done, then the argument in point could escape the fallacy status. </w:t>
      </w:r>
    </w:p>
    <w:p w:rsidR="00223ED1" w:rsidRDefault="00223ED1" w:rsidP="009C4923">
      <w:pPr>
        <w:spacing w:after="0"/>
        <w:ind w:firstLine="720"/>
        <w:jc w:val="both"/>
      </w:pPr>
      <w:r>
        <w:t>Appeal to Force is experienced when the premise of an argument shows explicit use of force and might or a threat of either as a reason for accepting the conclusion. The force implied in this statement may be in the form of physical force, or other kinds of pressure, such as economic pressure and emotional blackmail (128). An example of such a fallacy is:</w:t>
      </w:r>
    </w:p>
    <w:p w:rsidR="00223ED1" w:rsidRDefault="00223ED1" w:rsidP="009C4923">
      <w:pPr>
        <w:spacing w:after="0"/>
        <w:ind w:firstLine="720"/>
        <w:jc w:val="both"/>
      </w:pPr>
      <w:r>
        <w:t>"You should believe God exists because, if you don't, when you die you will be judged and God will send you to hell for all of eternity. "</w:t>
      </w:r>
    </w:p>
    <w:p w:rsidR="00223ED1" w:rsidRDefault="00223ED1" w:rsidP="009C4923">
      <w:pPr>
        <w:spacing w:after="0"/>
        <w:ind w:firstLine="720"/>
        <w:jc w:val="both"/>
      </w:pPr>
      <w:r>
        <w:t xml:space="preserve">The existent of God in the entire argument is solely dependent on the fear implied with the torture in hell, and thus lacks a rational connection between the premise and the conclusion. The relevant rationality can link the premise in the argument to the conclusion in such situations. In situations where the threat is credible, the statement may provide a reason for the subject to behave as if he believes in the argument. The exception to this policy is if the force, coercion, or threat is not used as a reason but a fact of consequence. In such conditions, it is not fallacious especially in cases when a legitimate reason is given with the threat, direct or implied. </w:t>
      </w:r>
    </w:p>
    <w:p w:rsidR="00223ED1" w:rsidRDefault="00223ED1" w:rsidP="009C4923">
      <w:pPr>
        <w:spacing w:after="0"/>
        <w:ind w:firstLine="720"/>
        <w:jc w:val="both"/>
      </w:pPr>
      <w:r>
        <w:t xml:space="preserve">Straw-man fallacy when someone attacks a position similar to, but is different from the opponent's position and concludes that the latter's opinion has been refuted. The attack on the unreal opponent creates the notion of a straw man and the idea criticized are similar to but not the same as the opponents. The straw-man fallacy is inappropriate since it interprets someone's position as an opinion that the opponent did not express or is not committed to, in virtue of his real argument. Critical assessment is critical in distinguishing the difference in the opponent's </w:t>
      </w:r>
      <w:r>
        <w:lastRenderedPageBreak/>
        <w:t xml:space="preserve">arguments and the refuted one. The presence of the straw-man fallacy diminishes the logical strength of </w:t>
      </w:r>
      <w:r w:rsidR="009C4923">
        <w:t>a.</w:t>
      </w:r>
      <w:r>
        <w:t xml:space="preserve"> An example of this fallacy is;</w:t>
      </w:r>
      <w:r w:rsidR="009C4923">
        <w:t xml:space="preserve"> </w:t>
      </w:r>
      <w:r>
        <w:t>"The fact that he does not believe in God shows that he thinks we are here by accident, that the design and balance of nature is by pure chance, and that the universe just created itself."</w:t>
      </w:r>
    </w:p>
    <w:p w:rsidR="00223ED1" w:rsidRDefault="00223ED1" w:rsidP="009C4923">
      <w:pPr>
        <w:spacing w:after="0"/>
        <w:ind w:firstLine="720"/>
        <w:jc w:val="both"/>
      </w:pPr>
      <w:r>
        <w:t xml:space="preserve">There is no logical strength in the argument, and the ideologies that are under attack have no real connections to the opponent's opinion. </w:t>
      </w:r>
    </w:p>
    <w:p w:rsidR="00223ED1" w:rsidRDefault="00223ED1" w:rsidP="009C4923">
      <w:pPr>
        <w:spacing w:after="0"/>
        <w:ind w:firstLine="720"/>
        <w:jc w:val="both"/>
      </w:pPr>
      <w:r>
        <w:t>The Ad Hominem fallacy is committed when the premise of an argument provides information about the author of the same statement in an attempt to prove it is false, when in fact, the information about the author is irrelevant to the truth or falsity of the argument (</w:t>
      </w:r>
      <w:proofErr w:type="spellStart"/>
      <w:r>
        <w:t>pg</w:t>
      </w:r>
      <w:proofErr w:type="spellEnd"/>
      <w:r>
        <w:t xml:space="preserve"> 131). The fallacy attacks the opponent, as opposed to the logic, to discredit their argument, when the attack is irrelevant to the issue. Ad hominem is usually a sign of desperation in arguments. The method of attack employed provides a means to cast doubt over the character or personal attributes of the opponent. An example of an Ad Hominem fallacy is;</w:t>
      </w:r>
    </w:p>
    <w:p w:rsidR="00223ED1" w:rsidRDefault="00223ED1" w:rsidP="009C4923">
      <w:pPr>
        <w:spacing w:after="0"/>
        <w:ind w:firstLine="720"/>
        <w:jc w:val="both"/>
      </w:pPr>
      <w:r>
        <w:t xml:space="preserve">“Sally presents an eloquent and compelling case for a more equitable taxation system. She is attacked because she is not married, was arrested once and smells a bit weird.” </w:t>
      </w:r>
    </w:p>
    <w:p w:rsidR="00D55DF0" w:rsidRDefault="00223ED1" w:rsidP="009C4923">
      <w:pPr>
        <w:spacing w:after="0"/>
        <w:ind w:firstLine="720"/>
        <w:jc w:val="both"/>
      </w:pPr>
      <w:r>
        <w:t xml:space="preserve">The physical attributes portrayed against Sally have no gest on the logical strength of her argument. These attributes do not convey any reason why she should not be capable of presenting her findings and backing them up. Her opponent chooses to undermine her case without actually engaging in it. In some scenarios, Ad Hominem attack if not viewed as fallacious. Such situations present the attributes of the person as relevant to the argument. Take the example; </w:t>
      </w:r>
      <w:r w:rsidR="00D55DF0">
        <w:t xml:space="preserve">when a repeat convict is arraigned in court for the same manner of offence that he previously served for, the lawyer can attack his character in relation to the crime. His character and the crime are both relevant and intertwined. </w:t>
      </w:r>
    </w:p>
    <w:p w:rsidR="005E3943" w:rsidRDefault="00223ED1" w:rsidP="009C4923">
      <w:pPr>
        <w:spacing w:after="0"/>
        <w:ind w:firstLine="720"/>
        <w:jc w:val="both"/>
      </w:pPr>
      <w:r>
        <w:lastRenderedPageBreak/>
        <w:t>The use of Ad Hominem fallacy points out the biases of the opponents and proponents within a discussion. In such situations, it is relevantly easy to understand the motivations and personality of the characters that opt to raise such attacks.</w:t>
      </w:r>
      <w:r w:rsidR="00D55DF0">
        <w:t xml:space="preserve"> The Ad Hominem fallacy is derived from the fact that it is psychological satisfying to attack people whom we consider nasty to refute their arguments. The technique explains why the fallacy is most prevalent in debates and discussions. Ad hominem also originates from the efficiency of the fallacy in taking the attackers opinion out of context. The latter approach can be used to force the opponent expound on his idea if he was cryptic, and engage him in a different argument that would demoralize him. The validity of Ad Hominem in arguments is derived from the relevance of the character of opponent in relation to his views, and when the character of the opponent creates an appropriate chance for the argument </w:t>
      </w:r>
      <w:r w:rsidR="005E3943">
        <w:t>presents conflict of interest. In both scenarios, the person’s views and character are taken into consideration when approaching and addressing the argument.</w:t>
      </w:r>
    </w:p>
    <w:p w:rsidR="005E3943" w:rsidRDefault="005E3943" w:rsidP="009C4923">
      <w:pPr>
        <w:spacing w:after="0"/>
      </w:pPr>
      <w:r>
        <w:br w:type="page"/>
      </w:r>
    </w:p>
    <w:sdt>
      <w:sdtPr>
        <w:rPr>
          <w:rFonts w:ascii="Times New Roman" w:eastAsiaTheme="minorHAnsi" w:hAnsi="Times New Roman" w:cstheme="minorBidi"/>
          <w:b w:val="0"/>
          <w:bCs w:val="0"/>
          <w:color w:val="auto"/>
          <w:sz w:val="24"/>
          <w:szCs w:val="22"/>
          <w:lang w:eastAsia="en-US"/>
        </w:rPr>
        <w:id w:val="-828516993"/>
        <w:docPartObj>
          <w:docPartGallery w:val="Bibliographies"/>
          <w:docPartUnique/>
        </w:docPartObj>
      </w:sdtPr>
      <w:sdtEndPr/>
      <w:sdtContent>
        <w:p w:rsidR="005E3943" w:rsidRPr="005E3943" w:rsidRDefault="005E3943" w:rsidP="009C4923">
          <w:pPr>
            <w:pStyle w:val="Heading1"/>
            <w:spacing w:before="0" w:line="480" w:lineRule="auto"/>
            <w:jc w:val="center"/>
            <w:rPr>
              <w:rFonts w:ascii="Times New Roman" w:hAnsi="Times New Roman" w:cs="Times New Roman"/>
              <w:b w:val="0"/>
              <w:color w:val="auto"/>
              <w:sz w:val="24"/>
            </w:rPr>
          </w:pPr>
          <w:r>
            <w:rPr>
              <w:rFonts w:ascii="Times New Roman" w:hAnsi="Times New Roman" w:cs="Times New Roman"/>
              <w:b w:val="0"/>
              <w:color w:val="auto"/>
              <w:sz w:val="24"/>
            </w:rPr>
            <w:t>References</w:t>
          </w:r>
        </w:p>
        <w:sdt>
          <w:sdtPr>
            <w:id w:val="111145805"/>
            <w:bibliography/>
          </w:sdtPr>
          <w:sdtEndPr/>
          <w:sdtContent>
            <w:p w:rsidR="005E3943" w:rsidRDefault="005E3943" w:rsidP="009C4923">
              <w:pPr>
                <w:pStyle w:val="Bibliography"/>
                <w:spacing w:after="0"/>
                <w:ind w:left="720" w:hanging="720"/>
                <w:rPr>
                  <w:noProof/>
                </w:rPr>
              </w:pPr>
              <w:r>
                <w:fldChar w:fldCharType="begin"/>
              </w:r>
              <w:r>
                <w:instrText xml:space="preserve"> BIBLIOGRAPHY </w:instrText>
              </w:r>
              <w:r>
                <w:fldChar w:fldCharType="separate"/>
              </w:r>
              <w:r>
                <w:rPr>
                  <w:noProof/>
                </w:rPr>
                <w:t xml:space="preserve">Hughes, W., Lavery, J., &amp; Doran, K. (2015). </w:t>
              </w:r>
              <w:r>
                <w:rPr>
                  <w:i/>
                  <w:iCs/>
                  <w:noProof/>
                </w:rPr>
                <w:t>Critical Thinking: An Introduction to the Basic Skills</w:t>
              </w:r>
              <w:r>
                <w:rPr>
                  <w:noProof/>
                </w:rPr>
                <w:t xml:space="preserve"> (7 ed.). Broadview Press.</w:t>
              </w:r>
            </w:p>
            <w:p w:rsidR="005E3943" w:rsidRDefault="005E3943" w:rsidP="009C4923">
              <w:pPr>
                <w:spacing w:after="0"/>
              </w:pPr>
              <w:r>
                <w:rPr>
                  <w:b/>
                  <w:bCs/>
                  <w:noProof/>
                </w:rPr>
                <w:fldChar w:fldCharType="end"/>
              </w:r>
            </w:p>
          </w:sdtContent>
        </w:sdt>
      </w:sdtContent>
    </w:sdt>
    <w:p w:rsidR="00C301CF" w:rsidRPr="00223ED1" w:rsidRDefault="00C301CF" w:rsidP="009C4923">
      <w:pPr>
        <w:spacing w:after="0"/>
        <w:ind w:firstLine="720"/>
      </w:pPr>
    </w:p>
    <w:sectPr w:rsidR="00C301CF" w:rsidRPr="00223ED1" w:rsidSect="005E3943">
      <w:headerReference w:type="default" r:id="rId7"/>
      <w:headerReference w:type="first" r:id="rId8"/>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C432E" w:rsidRDefault="002C432E" w:rsidP="005E3943">
      <w:pPr>
        <w:spacing w:after="0" w:line="240" w:lineRule="auto"/>
      </w:pPr>
      <w:r>
        <w:separator/>
      </w:r>
    </w:p>
  </w:endnote>
  <w:endnote w:type="continuationSeparator" w:id="0">
    <w:p w:rsidR="002C432E" w:rsidRDefault="002C432E" w:rsidP="005E394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C432E" w:rsidRDefault="002C432E" w:rsidP="005E3943">
      <w:pPr>
        <w:spacing w:after="0" w:line="240" w:lineRule="auto"/>
      </w:pPr>
      <w:r>
        <w:separator/>
      </w:r>
    </w:p>
  </w:footnote>
  <w:footnote w:type="continuationSeparator" w:id="0">
    <w:p w:rsidR="002C432E" w:rsidRDefault="002C432E" w:rsidP="005E394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E3943" w:rsidRDefault="005E3943">
    <w:pPr>
      <w:pStyle w:val="Header"/>
      <w:jc w:val="right"/>
    </w:pPr>
    <w:r>
      <w:t>FALLACIES</w:t>
    </w:r>
    <w:r>
      <w:tab/>
    </w:r>
    <w:r>
      <w:tab/>
    </w:r>
    <w:sdt>
      <w:sdtPr>
        <w:id w:val="-1842545742"/>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DC6B9F">
          <w:rPr>
            <w:noProof/>
          </w:rPr>
          <w:t>6</w:t>
        </w:r>
        <w:r>
          <w:rPr>
            <w:noProof/>
          </w:rPr>
          <w:fldChar w:fldCharType="end"/>
        </w:r>
      </w:sdtContent>
    </w:sdt>
  </w:p>
  <w:p w:rsidR="005E3943" w:rsidRDefault="005E3943">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E3943" w:rsidRDefault="005E3943">
    <w:pPr>
      <w:pStyle w:val="Header"/>
      <w:jc w:val="right"/>
    </w:pPr>
    <w:r>
      <w:t>Running Head: FALLACIES</w:t>
    </w:r>
    <w:r>
      <w:tab/>
    </w:r>
    <w:r>
      <w:tab/>
    </w:r>
    <w:sdt>
      <w:sdtPr>
        <w:id w:val="-626307977"/>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DC6B9F">
          <w:rPr>
            <w:noProof/>
          </w:rPr>
          <w:t>1</w:t>
        </w:r>
        <w:r>
          <w:rPr>
            <w:noProof/>
          </w:rPr>
          <w:fldChar w:fldCharType="end"/>
        </w:r>
      </w:sdtContent>
    </w:sdt>
  </w:p>
  <w:p w:rsidR="005E3943" w:rsidRDefault="005E394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E603E"/>
    <w:rsid w:val="000A2857"/>
    <w:rsid w:val="001408F9"/>
    <w:rsid w:val="00146884"/>
    <w:rsid w:val="00164536"/>
    <w:rsid w:val="00223ED1"/>
    <w:rsid w:val="002C432E"/>
    <w:rsid w:val="003E2903"/>
    <w:rsid w:val="00477E4A"/>
    <w:rsid w:val="00513C96"/>
    <w:rsid w:val="005B50CB"/>
    <w:rsid w:val="005E3943"/>
    <w:rsid w:val="006B5543"/>
    <w:rsid w:val="006E61E2"/>
    <w:rsid w:val="006E6D27"/>
    <w:rsid w:val="007D459A"/>
    <w:rsid w:val="007E73CE"/>
    <w:rsid w:val="009245F0"/>
    <w:rsid w:val="009C4923"/>
    <w:rsid w:val="00C301CF"/>
    <w:rsid w:val="00D55DF0"/>
    <w:rsid w:val="00DB4713"/>
    <w:rsid w:val="00DC6B9F"/>
    <w:rsid w:val="00EB5179"/>
    <w:rsid w:val="00EE603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E6A199"/>
  <w15:docId w15:val="{FF85AE74-0CBB-4A83-85CA-EC69E2DFA4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4"/>
        <w:szCs w:val="22"/>
        <w:lang w:val="en-US" w:eastAsia="en-US" w:bidi="ar-SA"/>
      </w:rPr>
    </w:rPrDefault>
    <w:pPrDefault>
      <w:pPr>
        <w:spacing w:after="200"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5E3943"/>
    <w:pPr>
      <w:keepNext/>
      <w:keepLines/>
      <w:spacing w:before="480" w:after="0" w:line="276" w:lineRule="auto"/>
      <w:outlineLvl w:val="0"/>
    </w:pPr>
    <w:rPr>
      <w:rFonts w:asciiTheme="majorHAnsi" w:eastAsiaTheme="majorEastAsia" w:hAnsiTheme="majorHAnsi" w:cstheme="majorBidi"/>
      <w:b/>
      <w:bCs/>
      <w:color w:val="365F91" w:themeColor="accent1" w:themeShade="BF"/>
      <w:sz w:val="28"/>
      <w:szCs w:val="28"/>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E3943"/>
    <w:pPr>
      <w:tabs>
        <w:tab w:val="center" w:pos="4680"/>
        <w:tab w:val="right" w:pos="9360"/>
      </w:tabs>
      <w:spacing w:after="0" w:line="240" w:lineRule="auto"/>
    </w:pPr>
  </w:style>
  <w:style w:type="character" w:customStyle="1" w:styleId="HeaderChar">
    <w:name w:val="Header Char"/>
    <w:basedOn w:val="DefaultParagraphFont"/>
    <w:link w:val="Header"/>
    <w:uiPriority w:val="99"/>
    <w:rsid w:val="005E3943"/>
  </w:style>
  <w:style w:type="paragraph" w:styleId="Footer">
    <w:name w:val="footer"/>
    <w:basedOn w:val="Normal"/>
    <w:link w:val="FooterChar"/>
    <w:uiPriority w:val="99"/>
    <w:unhideWhenUsed/>
    <w:rsid w:val="005E3943"/>
    <w:pPr>
      <w:tabs>
        <w:tab w:val="center" w:pos="4680"/>
        <w:tab w:val="right" w:pos="9360"/>
      </w:tabs>
      <w:spacing w:after="0" w:line="240" w:lineRule="auto"/>
    </w:pPr>
  </w:style>
  <w:style w:type="character" w:customStyle="1" w:styleId="FooterChar">
    <w:name w:val="Footer Char"/>
    <w:basedOn w:val="DefaultParagraphFont"/>
    <w:link w:val="Footer"/>
    <w:uiPriority w:val="99"/>
    <w:rsid w:val="005E3943"/>
  </w:style>
  <w:style w:type="character" w:customStyle="1" w:styleId="Heading1Char">
    <w:name w:val="Heading 1 Char"/>
    <w:basedOn w:val="DefaultParagraphFont"/>
    <w:link w:val="Heading1"/>
    <w:uiPriority w:val="9"/>
    <w:rsid w:val="005E3943"/>
    <w:rPr>
      <w:rFonts w:asciiTheme="majorHAnsi" w:eastAsiaTheme="majorEastAsia" w:hAnsiTheme="majorHAnsi" w:cstheme="majorBidi"/>
      <w:b/>
      <w:bCs/>
      <w:color w:val="365F91" w:themeColor="accent1" w:themeShade="BF"/>
      <w:sz w:val="28"/>
      <w:szCs w:val="28"/>
      <w:lang w:eastAsia="ja-JP"/>
    </w:rPr>
  </w:style>
  <w:style w:type="paragraph" w:styleId="Bibliography">
    <w:name w:val="Bibliography"/>
    <w:basedOn w:val="Normal"/>
    <w:next w:val="Normal"/>
    <w:uiPriority w:val="37"/>
    <w:unhideWhenUsed/>
    <w:rsid w:val="005E3943"/>
  </w:style>
  <w:style w:type="paragraph" w:styleId="BalloonText">
    <w:name w:val="Balloon Text"/>
    <w:basedOn w:val="Normal"/>
    <w:link w:val="BalloonTextChar"/>
    <w:uiPriority w:val="99"/>
    <w:semiHidden/>
    <w:unhideWhenUsed/>
    <w:rsid w:val="005E394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E3943"/>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Sixth Edition">
  <b:Source>
    <b:Tag>Hug15</b:Tag>
    <b:SourceType>Book</b:SourceType>
    <b:Guid>{88DF0487-464C-4998-A499-6614AE31168D}</b:Guid>
    <b:Title>Critical Thinking: An Introduction to the Basic Skills</b:Title>
    <b:Year>2015</b:Year>
    <b:Publisher>Broadview Press</b:Publisher>
    <b:Author>
      <b:Author>
        <b:NameList>
          <b:Person>
            <b:Last>Hughes</b:Last>
            <b:First>William</b:First>
          </b:Person>
          <b:Person>
            <b:Last>Lavery</b:Last>
            <b:First>Jonathan</b:First>
          </b:Person>
          <b:Person>
            <b:Last>Doran</b:Last>
            <b:First>Katheryn</b:First>
          </b:Person>
        </b:NameList>
      </b:Author>
    </b:Author>
    <b:Edition>7</b:Edition>
    <b:RefOrder>1</b:RefOrder>
  </b:Source>
</b:Sources>
</file>

<file path=customXml/itemProps1.xml><?xml version="1.0" encoding="utf-8"?>
<ds:datastoreItem xmlns:ds="http://schemas.openxmlformats.org/officeDocument/2006/customXml" ds:itemID="{55EBADF5-318B-4AFF-A710-DF3B3CBABC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1103</Words>
  <Characters>6288</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2</cp:revision>
  <dcterms:created xsi:type="dcterms:W3CDTF">2019-04-02T03:05:00Z</dcterms:created>
  <dcterms:modified xsi:type="dcterms:W3CDTF">2019-04-02T03:05:00Z</dcterms:modified>
</cp:coreProperties>
</file>